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70</w:t>
      </w:r>
    </w:p>
    <w:p>
      <w:r>
        <w:t>Bundesgericht (BGE), 2009-10-23, DE</w:t>
      </w:r>
    </w:p>
    <w:p>
      <w:r>
        <w:rPr>
          <w:b/>
        </w:rPr>
        <w:t xml:space="preserve">Quelle: </w:t>
      </w:r>
      <w:r>
        <w:t>https://mcp.opencaselaw.ch/entscheid/bge_136 IV 70</w:t>
      </w:r>
    </w:p>
    <w:p>
      <w:r>
        <w:t>FR: ATF 136 IV 70</w:t>
      </w:r>
    </w:p>
    <w:p>
      <w:r>
        <w:t>IT: DTF 136 IV 70</w:t>
      </w:r>
    </w:p>
    <w:p>
      <w:pPr>
        <w:pStyle w:val="Heading2"/>
      </w:pPr>
      <w:r>
        <w:t>Regeste</w:t>
      </w:r>
    </w:p>
    <w:p>
      <w:r>
        <w:t>Regeste Art. 58 Abs. 1 i.V.m. Art. 59 StGB, § 75 Abs. 5 StPO/AG; vorzeitiger Antritt einer stationären therapeutischen Massnahme. Der vorzeitige Massnahmeantritt stellt für das Sachgericht eine Entscheidungshilfe dar. Es ist nicht auf die Würdigung des psychiatrischen Gutachtens beschränkt, sondern kann Erfahrungen, die im vorzeitigen Massnahmevollzug gesammelt werden konnten, berücksichtigen. Der vorzeitige Massnahmeantritt ermöglicht überdies, die Zeit der Untersuchung sinnvoll zu nutzen. Ausserdem lässt sich mit ihm vermeiden, dass die Therapiebereitschaft des Beschuldigten durch eine längere Haft zerstört wird. Dem hat die zuständige Behörde Rechnung zu tragen. Sie darf den vorzeitigen Massnahmeantritt nicht allein mit der Begründung ablehnen, dieser sei nicht dringlich (E. 2).</w:t>
      </w:r>
    </w:p>
    <w:p>
      <w:pPr>
        <w:pStyle w:val="Heading2"/>
      </w:pPr>
      <w:r>
        <w:t>Erwägungen</w:t>
      </w:r>
    </w:p>
    <w:p>
      <w:r>
        <w:rPr>
          <w:b/>
        </w:rPr>
        <w:t>E. 2.1</w:t>
      </w:r>
    </w:p>
    <w:p>
      <w:r>
        <w:t>Der Beschwerdeführer bringt vor, Art. 58 Abs. 1 StGB und § 75 Abs. 5 des Gesetzes des Kantons Aargau vom 11. November 1958 über die Strafrechtspflege (StPO/AG; SAR 251.100) regelten den vorzeitigen Massnahmeantritt. Die Praxis der Vorinstanz, den vorzeitigen Massnahmeantritt nur zu bewilligen, wenn dieser dringlich sei, verletze Art. 58 Abs. 1 StGB , da die Dringlichkeit nach dieser Bestimmung kein massgebliches Kriterium darstelle. Zwar habe das Bundesgericht in anderen Fällen erwogen, das Kriterium der Dringlichkeit dürfe berücksichtigt werden. Dies - so der Beschwerdeführer weiter - könne aber nur so weit gelten, als dieses Kriterium in eine Interessenabwägung einbezogen werde. Alleine auf die Dringlichkeit abzustellen verletze Art. 58 Abs. 1 StGB . Ebenso liege darin eine willkürliche Anwendung von § 75 Abs. 5 StPO /AG.</w:t>
      </w:r>
    </w:p>
    <w:p>
      <w:r>
        <w:rPr>
          <w:b/>
        </w:rPr>
        <w:t>E. 2.2.1</w:t>
      </w:r>
    </w:p>
    <w:p>
      <w:r>
        <w:t>Gemäss Art. 58 Abs. 1 StGB kann dem Täter gestattet werden, den Vollzug vorzeitig anzutreten, wenn die Anordnung einer Massnahme nach den Artikeln 59-61 oder Artikel 63 zu erwarten ist. Diese Bestimmung wurde mit dem neuen Allgemeinen Teil des Strafgesetzbuches, in Kraft sei 1. Januar 2007, eingeführt. Aufgrund von Art. 58 Abs. 1 StGB besteht die grundsätzliche Möglichkeit des vorzeitigen Antritts einer therapeutischen Massnahme ungeachtet einer entsprechenden Bestimmung im kantonalen Strafprozessrecht. Das kantonale Recht kann aber den Sachbereich näher regeln und dabei den vorzeitigen Vollzug von bestimmten weiteren Voraussetzungen abhängig machen (Urteil 1B_313/2009 vom 26. November 2009 E. 2.2 mit Hinweisen).</w:t>
      </w:r>
    </w:p>
    <w:p>
      <w:r>
        <w:rPr>
          <w:b/>
        </w:rPr>
        <w:t>E. 2.2.2</w:t>
      </w:r>
    </w:p>
    <w:p>
      <w:r>
        <w:t>Gemäss § 75 Abs. 5 StPO /AG kann anstelle von Untersuchungshaft in sinngemässer Anwendung von Absatz 3 und 4 auch der vorzeitige Vollzug einer Massnahme gestattet oder angeordnet werden. Die Staatsanwaltschaft ist vor dem Entscheid anzuhören. § 75 Abs. 3 StPO /AG regelt die Kompetenz zur Anordnung des vorzeitigen Strafvollzugs. § 75 Abs. 4 StPO /AG umschreibt die Stellung des Gefangenen im vorzeitigen Strafvollzug. § 75 StPO /AG macht den vorzeitigen Massnahmeantritt von keinen über Art. 58 Abs. 1 StGB hinausgehenden Voraussetzungen abhängig.</w:t>
      </w:r>
    </w:p>
    <w:p>
      <w:r>
        <w:rPr>
          <w:b/>
        </w:rPr>
        <w:t>E. 2.2.3</w:t>
      </w:r>
    </w:p>
    <w:p>
      <w:r>
        <w:t>Nach der Rechtsprechung steht der zuständigen Behörde beim Entscheid über die Bewilligung des vorzeitigen Massnahmeantritts BGE 136 IV 70 S. 73 ein Ermessensspielraum zu (Urteil 1B_313/2009 vom 26. November 2009 E. 2.2 mit Hinweisen).</w:t>
      </w:r>
    </w:p>
    <w:p>
      <w:r>
        <w:rPr>
          <w:b/>
        </w:rPr>
        <w:t>E. 2.3.1</w:t>
      </w:r>
    </w:p>
    <w:p>
      <w:r>
        <w:t>Die Vorinstanz stützt ihren Entscheid auf die bundesgerichtlichen Urteile 1B_113/2008 vom 22. Mai 2008 und 1B_320/2008 vom 7. Januar 2009, welche beide den Kanton Aargau betrafen. Im Fall, der dem Urteil 1B_113/2008 vom 22. Mai 2008 zugrunde lag, hatte die Vorinstanz den vorzeitigen Massnahmeantritt mit im Wesentlichen gleicher Begründung wie hier abgelehnt. Das Bundesgericht befand, die Auffassung der Vorinstanz, der vorzeitige Massnahmeantritt sei mit Rücksicht auf die Entscheidkompetenzen des Sachrichters nur in dringenden Fällen anzuordnen, stehe nicht im Widerspruch zur gesetzlichen Regelung. Die im angefochtenen Entscheid zum Ausdruck gebrachte Ermessensausübung erscheine nicht als bundesrechtswidrig, auch wenn die Dringlichkeit der Massnahme im Gesetz nicht ausdrücklich als Voraussetzung für den vorzeitigen Massnahmeantritt erwähnt sei (E. 2.5). Im Fall, über den im Urteil 1B_320/2008 vom 7. Januar 2009 zu befinden war, hatte die Vorinstanz den vorzeitigen Massnahmeantritt ebenfalls mangels Dringlichkeit abgelehnt. Das Bundesgericht erwog, es sei weder eine verfassungswidrige Anwendung des kantonalen Strafprozessrechts ersichtlich noch eine Verletzung bzw. Vereitelung von Bundesstrafrecht (E. 5.2).</w:t>
      </w:r>
    </w:p>
    <w:p>
      <w:r>
        <w:rPr>
          <w:b/>
        </w:rPr>
        <w:t>E. 2.3.2</w:t>
      </w:r>
    </w:p>
    <w:p>
      <w:r>
        <w:t>Der Beschwerdeführer beruft sich demgegenüber auf das Urteil 1B_313/2009 vom 26. November 2009. Dort ging es um einen Fall aus dem Kanton Zürich. Der Haftrichter wies ein Gesuch um Bewilligung des vorzeitigen Massnahmeantritts ab. Zur Begründung führte er aus, aufgrund des psychiatrischen Gutachtens und des Antrags der Staatsanwaltschaft in der Anklageschrift sei offen, ob die Anordnung einer freiheitsentziehenden Massnahme oder eine ambulante Massnahme bei gleichzeitiger Verbüssung einer Freiheitsstrafe durch das Sachgericht zu erwarten sei. Mit der Bewilligung des vorzeitigen Massnahmeantritts würde der Entscheid des Sachgerichts damit in nicht zu rechtfertigender Weise präjudiziert. Das Bundesgericht hob den Entscheid des Haftrichters auf. Es befand, die von diesem gegebene Begründung überzeuge nicht. Der Haftrichter habe von seinem Ermessen fehlerhaft Gebrauch gemacht. Er hätte dem Beschuldigten die Möglichkeit geben müssen, mit der Massnahme zu beginnen (E. 2.3). BGE 136 IV 70 S. 74</w:t>
      </w:r>
    </w:p>
    <w:p>
      <w:r>
        <w:rPr>
          <w:b/>
        </w:rPr>
        <w:t>E. 2.4</w:t>
      </w:r>
    </w:p>
    <w:p>
      <w:r>
        <w:t>Die Entscheide in den Aargauer Fällen einerseits und im Zürcher Fall anderseits weisen in verschiedene Richtungen. Die Rechtsprechung bedarf der Klärung. Die Vorinstanz ist der Auffassung, mit dem vorzeitigen Massnahmeantritt werde der Entscheid des Sachgerichts präjudiziert. Sie will den vorzeitigen Massnahmeantritt deshalb nur in dringenden Fällen zulassen. Dem kann nicht gefolgt werden. Wird der vorzeitige Massnahmeantritt bewilligt, bindet das den Sachrichter in rechtlicher Hinsicht nicht. Er bleibt frei, die vorzeitig angetretene Massnahme definitiv oder eine andere Massnahme anzuordnen oder auf eine solche gänzlich zu verzichten. Der vorzeitige Massnahmeantritt bindet den Sachrichter auch faktisch nicht so, dass er die vorzeitig angetretene Massnahme nur noch bestätigen könnte. Der vorzeitige Massnahmeantritt stellt für den Sachrichter vielmehr eine Entscheidungshilfe dar. Hat sich die vorzeitig angetretene Massnahme bewährt, wird er diese in der Regel definitiv anordnen. Hat sie sich dagegen nicht bewährt, wird er von ihrer Anordnung regelmässig absehen. In jedem Fall kann der Sachrichter seinen Entscheid auf eine gesichertere Grundlage stellen. Er ist nicht auf die Würdigung des Gutachtens beschränkt, sondern kann Erfahrungen, die im vorzeitigen Massnahmevollzug gesammelt werden konnten, berücksichtigen ( BGE 126 I 172 E. 3a S. 174; MARIANNE HEER, in: Basler Kommentar, Strafrecht, Bd. I, 2. Aufl. 2007, N. 1 zu Art. 58 StGB ). Darin liegt ein wesentlicher Vorteil dieses Rechtsinstituts. Namentlich mit Blick darauf hat es der Bundesgesetzgeber in Art. 58 Abs. 1 StGB eingeführt (Botschaft vom 21. September 1998 zur Änderung des Schweizerischen Strafgesetzbuches, BBl 1999 2073). Die Vorinstanz lässt dies ausser Acht. Sie geht in der Sache davon aus, der vorzeitige Massnahmeantritt schränke die Freiheit des Sachrichters ein und behindere dessen Entscheid, was nach dem Gesagten nicht zutrifft. Der vorzeitige Massnahmeantritt ermöglicht überdies, die Zeit der Untersuchung sinnvoll zu nutzen (Botschaft, a.a.O.; HEER, a.a.O.). Auch dem trägt die Vorinstanz keine Rechnung. Nach den Darlegungen des Bezirksamtes ist das Untersuchungsverfahren abgeschlossen. Das Bezirksamt bemerkt, es werde nun den Schlussbericht erstellen und die Akten an die Staatsanwaltschaft zur Anklageerhebung überweisen. Der Beschwerdeführer bringt vor, bis zum sachrichterlichen Urteil werde noch mindestens ein halbes Jahr verstreichen. Ob BGE 136 IV 70 S. 75 dieses Urteil allenfalls früher ergehen kann, kann dahingestellt bleiben. Jedenfalls ist davon auszugehen, dass es bis zum sachrichterlichen Urteil noch einige Monate dauern wird, da es um eine umfangreichere Strafsache mit dem Vorwurf insbesondere des bewaffneten Raubes in neun Fällen geht. Bliebe es beim angefochtenen Entscheid, müsste der Beschwerdeführer diese Zeit im vorzeitigen Strafvollzug verbringen. Sie könnte für seine stationäre Behandlung nicht genutzt werden, obwohl diese die Gutachterinnen als notwendig erachten und der Beschwerdeführer massnahmewillig ist. Aufgrund des Gutachtens ist anzunehmen, dass sich die Aussichten auf eine Legalbewährung mit der Behandlung des Beschwerdeführers erheblich verbessern lassen. Damit liegt es nicht nur in dessen privatem Interesse, dass er mit der Massnahme möglichst früh beginnen kann, sondern besteht daran auch ein öffentliches Interesse. Mit dem vorzeitigen Massnahmeantritt lässt sich zudem vermeiden, dass die Therapiebereitschaft des Beschuldigten durch eine längere Haft zerstört wird (Botschaft, a.a.O.; HEER, a.a.O.). Auch dem ist hier Rechnung zu tragen. Der Beschwerdeführer ist - wie sich aus dem Gutachten ergibt und sein Gesuch um Bewilligung des vorzeitigen Massnahmeantritts zeigt - bereit, sich der Behandlung zu stellen. Würde dem Beschwerdeführer der vorzeitige Massnahmeantritt jetzt verweigert und müsste er daher weitere Monate im vorzeitigen Strafvollzug bleiben, könnte sich das nachteilig auf seine Behandlungsbereitschaft auswirken. Die Dringlichkeit der Massnahme ist an sich kein sachfremdes Kriterium. Sie stellt aber - wie der Beschwerdeführer zutreffend einwendet - nur ein Kriterium neben anderen dar. Der Frage der Dringlichkeit kommt keine allein ausschlaggebende Bedeutung zu. Die Vorinstanz hat danach wesentliche Gesichtspunkte ausser Acht gelassen bzw. bundesrechtswidrig gewichtet und somit von ihrem Ermessen fehlerhaft Gebrauch gemacht. Ihr Entscheid verletzt Art. 58 Abs. 1 StGB . Ob sie überdies § 75 StPO /AG willkürlich angewandt habe, kann offenbleiben.</w:t>
      </w:r>
    </w:p>
    <w:p>
      <w:r>
        <w:rPr>
          <w:b/>
        </w:rPr>
        <w:t>E. 2.5</w:t>
      </w:r>
    </w:p>
    <w:p>
      <w:r>
        <w:t>Aufgrund der Darlegungen im psychiatrischen Gutachten ist der Beschwerdeführer offensichtlich behandlungsbedürftig und ist die Anordnung einer stationären Massnahme nach Art. 59 StGB durch das Sachgericht zu erwarten. Die entsprechende Voraussetzung für die Bewilligung des vorzeitigen Massnahmeantritts gemäss Art. 58 Abs. 1 StGB ist daher erfüllt. BGE 136 IV 70 S. 76 Aus den (E. 2.4) dargelegten Gründen sprechen gewichtige sachliche Gesichtspunkte für die Bewilligung des vorzeitigen Massnahmeantritts. Mit Blick darauf ist dieser dem Beschwerdeführer zu gestatten, auch wenn - was Letzterer bestreitet - seine Behandlung allenfalls nicht dringlich sein sollte. Da die Angelegenheit spruchreif ist, kann das Bundesgericht selber entscheiden ( Art. 107 Abs. 2 BGG ). Es wird Sache der kantonalen Vollzugsbehörde sein, den Beschwerdeführer möglichst rasch in eine geeignete Massnahmeanstalt einzuweisen.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